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1C9E" w14:textId="19DE2332" w:rsidR="00C94E80" w:rsidRPr="00422379" w:rsidRDefault="00C94E80" w:rsidP="00C94E80">
      <w:pPr>
        <w:rPr>
          <w:rFonts w:ascii="Unit-Light" w:hAnsi="Unit-Light"/>
          <w:sz w:val="22"/>
        </w:rPr>
      </w:pPr>
    </w:p>
    <w:p w14:paraId="71513E25" w14:textId="43EAEB0F" w:rsidR="00F02706" w:rsidRPr="00F02706" w:rsidRDefault="00C94E80" w:rsidP="00F02706">
      <w:pPr>
        <w:jc w:val="left"/>
        <w:rPr>
          <w:rFonts w:ascii="Unit-Light" w:hAnsi="Unit-Light"/>
          <w:b/>
          <w:bCs/>
          <w:color w:val="70AD47" w:themeColor="accent6"/>
          <w:sz w:val="28"/>
          <w:szCs w:val="28"/>
          <w:lang w:val="de-DE"/>
        </w:rPr>
      </w:pPr>
      <w:r w:rsidRPr="00931680">
        <w:rPr>
          <w:rFonts w:ascii="Unit-Light" w:hAnsi="Unit-Light"/>
          <w:b/>
          <w:bCs/>
          <w:sz w:val="22"/>
          <w:lang w:val="de-DE"/>
        </w:rPr>
        <w:t xml:space="preserve">Berlin, </w:t>
      </w:r>
      <w:r w:rsidR="004A08A8">
        <w:rPr>
          <w:rFonts w:ascii="Unit-Light" w:hAnsi="Unit-Light"/>
          <w:b/>
          <w:bCs/>
          <w:sz w:val="22"/>
          <w:lang w:val="de-DE"/>
        </w:rPr>
        <w:t>06</w:t>
      </w:r>
      <w:r w:rsidR="000B59BA" w:rsidRPr="00931680">
        <w:rPr>
          <w:rFonts w:ascii="Unit-Light" w:hAnsi="Unit-Light"/>
          <w:b/>
          <w:bCs/>
          <w:sz w:val="22"/>
          <w:lang w:val="de-DE"/>
        </w:rPr>
        <w:t>.</w:t>
      </w:r>
      <w:r w:rsidR="003C7068">
        <w:rPr>
          <w:rFonts w:ascii="Unit-Light" w:hAnsi="Unit-Light"/>
          <w:b/>
          <w:bCs/>
          <w:sz w:val="22"/>
          <w:lang w:val="de-DE"/>
        </w:rPr>
        <w:t>0</w:t>
      </w:r>
      <w:r w:rsidR="004A08A8">
        <w:rPr>
          <w:rFonts w:ascii="Unit-Light" w:hAnsi="Unit-Light"/>
          <w:b/>
          <w:bCs/>
          <w:sz w:val="22"/>
          <w:lang w:val="de-DE"/>
        </w:rPr>
        <w:t>8</w:t>
      </w:r>
      <w:r w:rsidR="000B59BA" w:rsidRPr="00931680">
        <w:rPr>
          <w:rFonts w:ascii="Unit-Light" w:hAnsi="Unit-Light"/>
          <w:b/>
          <w:bCs/>
          <w:sz w:val="22"/>
          <w:lang w:val="de-DE"/>
        </w:rPr>
        <w:t xml:space="preserve">. </w:t>
      </w:r>
      <w:r w:rsidRPr="000B59BA">
        <w:rPr>
          <w:rFonts w:ascii="Unit-Light" w:hAnsi="Unit-Light"/>
          <w:b/>
          <w:bCs/>
          <w:sz w:val="22"/>
          <w:lang w:val="de-DE"/>
        </w:rPr>
        <w:t>20</w:t>
      </w:r>
      <w:r w:rsidR="00962FA7" w:rsidRPr="000B59BA">
        <w:rPr>
          <w:rFonts w:ascii="Unit-Light" w:hAnsi="Unit-Light"/>
          <w:b/>
          <w:bCs/>
          <w:sz w:val="22"/>
          <w:lang w:val="de-DE"/>
        </w:rPr>
        <w:t>2</w:t>
      </w:r>
      <w:r w:rsidR="003C7068">
        <w:rPr>
          <w:rFonts w:ascii="Unit-Light" w:hAnsi="Unit-Light"/>
          <w:b/>
          <w:bCs/>
          <w:sz w:val="22"/>
          <w:lang w:val="de-DE"/>
        </w:rPr>
        <w:t>1</w:t>
      </w:r>
      <w:r w:rsidRPr="000B59BA">
        <w:rPr>
          <w:rFonts w:ascii="Unit-Light" w:hAnsi="Unit-Light"/>
          <w:b/>
          <w:bCs/>
          <w:sz w:val="22"/>
          <w:lang w:val="de-DE"/>
        </w:rPr>
        <w:t xml:space="preserve"> </w:t>
      </w:r>
      <w:r w:rsidR="000B59BA" w:rsidRPr="000B59BA">
        <w:rPr>
          <w:rFonts w:ascii="Unit-Light" w:hAnsi="Unit-Light"/>
          <w:b/>
          <w:bCs/>
          <w:sz w:val="22"/>
          <w:lang w:val="de-DE"/>
        </w:rPr>
        <w:br/>
      </w:r>
      <w:r w:rsidR="00F02706" w:rsidRPr="00F02706">
        <w:rPr>
          <w:rFonts w:ascii="Unit-Light" w:hAnsi="Unit-Light"/>
          <w:b/>
          <w:bCs/>
          <w:color w:val="70AD47" w:themeColor="accent6"/>
          <w:sz w:val="28"/>
          <w:szCs w:val="28"/>
          <w:lang w:val="de-DE"/>
        </w:rPr>
        <w:t>Bewerbungsphase den Green Product Award ist gestartet</w:t>
      </w:r>
    </w:p>
    <w:p w14:paraId="58437DEE" w14:textId="62EF6DB9" w:rsidR="004A08A8" w:rsidRPr="003D22A7" w:rsidRDefault="004A08A8" w:rsidP="002230C4">
      <w:pPr>
        <w:rPr>
          <w:rFonts w:ascii="Unit-Light" w:hAnsi="Unit-Light"/>
          <w:b/>
          <w:bCs/>
          <w:sz w:val="22"/>
        </w:rPr>
      </w:pPr>
      <w:r w:rsidRPr="003D22A7">
        <w:rPr>
          <w:rFonts w:ascii="Unit-Light" w:hAnsi="Unit-Light"/>
          <w:b/>
          <w:bCs/>
          <w:sz w:val="22"/>
        </w:rPr>
        <w:t xml:space="preserve">Seit 2013 zeichnet der Green Product Award bereits in den Markt eingeführte Produkte und Dienstleistungen aus, die sich in den Bereichen Nachhaltigkeit, Innovation und Design abheben. Der Award richtet sich an ‚nachhaltige Markt-Veränderer‘, Start-ups &amp; etablierte Unternehmen. Einreichungen sind bis zum </w:t>
      </w:r>
      <w:r w:rsidR="0084685F">
        <w:rPr>
          <w:rFonts w:ascii="Unit-Light" w:hAnsi="Unit-Light"/>
          <w:b/>
          <w:bCs/>
          <w:sz w:val="22"/>
        </w:rPr>
        <w:t>1</w:t>
      </w:r>
      <w:r w:rsidRPr="003D22A7">
        <w:rPr>
          <w:rFonts w:ascii="Unit-Light" w:hAnsi="Unit-Light"/>
          <w:b/>
          <w:bCs/>
          <w:sz w:val="22"/>
        </w:rPr>
        <w:t>1. November 2021 möglich.</w:t>
      </w:r>
    </w:p>
    <w:p w14:paraId="304307D3" w14:textId="77777777" w:rsidR="004A08A8" w:rsidRPr="003D22A7" w:rsidRDefault="004A08A8" w:rsidP="002230C4">
      <w:pPr>
        <w:rPr>
          <w:rFonts w:ascii="Unit-Light" w:hAnsi="Unit-Light"/>
          <w:bCs/>
          <w:sz w:val="22"/>
          <w:lang w:eastAsia="zh-CN"/>
        </w:rPr>
      </w:pPr>
      <w:r w:rsidRPr="003D22A7">
        <w:rPr>
          <w:rFonts w:ascii="Unit-Light" w:hAnsi="Unit-Light"/>
          <w:bCs/>
          <w:sz w:val="22"/>
          <w:lang w:eastAsia="zh-CN"/>
        </w:rPr>
        <w:t>Die Teilnehmenden profitieren von Siegeln, digitaler Präsenz auf den Kanälen des Awards und der Medienpartner, dem jährlichen Green Trend Book, einem detaillierten Jury-Feedback, Ausstellungen sowie Netzwerkmöglichkeiten mit den Mitgliedern des Green Future Club.</w:t>
      </w:r>
    </w:p>
    <w:p w14:paraId="169006DE" w14:textId="48E11F68" w:rsidR="004A08A8" w:rsidRPr="003D22A7" w:rsidRDefault="00E9271F" w:rsidP="002230C4">
      <w:pPr>
        <w:rPr>
          <w:rFonts w:ascii="Unit-Light" w:hAnsi="Unit-Light"/>
          <w:sz w:val="22"/>
        </w:rPr>
      </w:pPr>
      <w:r w:rsidRPr="00F84626">
        <w:rPr>
          <w:rFonts w:ascii="Unit-Light" w:hAnsi="Unit-Light"/>
          <w:sz w:val="22"/>
          <w:lang w:val="de-DE"/>
        </w:rPr>
        <w:t>Arbeitswelt, Architektur &amp; Tiny Houses, Fashion, Gebäudekomponenten, Handwerk, Interior &amp; Lifestyle, Kinder, Konsumgüter, Küche, Neue Materialien, Mobilität</w:t>
      </w:r>
      <w:r>
        <w:rPr>
          <w:rFonts w:ascii="Unit-Light" w:hAnsi="Unit-Light"/>
          <w:sz w:val="22"/>
          <w:lang w:val="de-DE"/>
        </w:rPr>
        <w:t xml:space="preserve"> sowie</w:t>
      </w:r>
      <w:r w:rsidRPr="00F84626">
        <w:rPr>
          <w:rFonts w:ascii="Unit-Light" w:hAnsi="Unit-Light"/>
          <w:sz w:val="22"/>
          <w:lang w:val="de-DE"/>
        </w:rPr>
        <w:t xml:space="preserve"> Sport</w:t>
      </w:r>
      <w:r w:rsidRPr="00F84626">
        <w:rPr>
          <w:rFonts w:ascii="Unit-Light" w:hAnsi="Unit-Light"/>
          <w:sz w:val="22"/>
        </w:rPr>
        <w:t xml:space="preserve"> </w:t>
      </w:r>
      <w:r w:rsidR="004A08A8" w:rsidRPr="003D22A7">
        <w:rPr>
          <w:rFonts w:ascii="Unit-Light" w:hAnsi="Unit-Light"/>
          <w:sz w:val="22"/>
        </w:rPr>
        <w:t>sind die Kategorien, in denen die Awards ausgelobt werden. Studierende &amp; Absolventen können sich beim Green Concept Award bewerben.</w:t>
      </w:r>
    </w:p>
    <w:p w14:paraId="2E6424A1" w14:textId="77777777" w:rsidR="004A08A8" w:rsidRPr="003D22A7" w:rsidRDefault="004A08A8" w:rsidP="002230C4">
      <w:pPr>
        <w:rPr>
          <w:rFonts w:ascii="Unit-Light" w:hAnsi="Unit-Light"/>
          <w:sz w:val="22"/>
        </w:rPr>
      </w:pPr>
      <w:r w:rsidRPr="003D22A7">
        <w:rPr>
          <w:rFonts w:ascii="Unit-Light" w:hAnsi="Unit-Light"/>
          <w:sz w:val="22"/>
        </w:rPr>
        <w:t xml:space="preserve">Die Gewinner des Green Product Awards werden in einem dreistufigen Award-Verfahren ermittelt: </w:t>
      </w:r>
    </w:p>
    <w:p w14:paraId="52DDEDE2" w14:textId="77777777" w:rsidR="004A08A8" w:rsidRPr="00D86AB7" w:rsidRDefault="004A08A8" w:rsidP="002230C4">
      <w:pPr>
        <w:pStyle w:val="Listenabsatz"/>
        <w:numPr>
          <w:ilvl w:val="0"/>
          <w:numId w:val="4"/>
        </w:numPr>
        <w:spacing w:line="259" w:lineRule="auto"/>
        <w:rPr>
          <w:rFonts w:cstheme="minorBidi"/>
          <w:sz w:val="22"/>
          <w:szCs w:val="22"/>
        </w:rPr>
      </w:pPr>
      <w:r w:rsidRPr="00D86AB7">
        <w:rPr>
          <w:rFonts w:cstheme="minorBidi"/>
          <w:sz w:val="22"/>
          <w:szCs w:val="22"/>
        </w:rPr>
        <w:t xml:space="preserve">Entscheidung über die Aufnahme  in die ‚Pre-Selection’ (laufend) </w:t>
      </w:r>
    </w:p>
    <w:p w14:paraId="26FBD630" w14:textId="77777777" w:rsidR="004A08A8" w:rsidRPr="00D86AB7" w:rsidRDefault="004A08A8" w:rsidP="002230C4">
      <w:pPr>
        <w:pStyle w:val="Listenabsatz"/>
        <w:numPr>
          <w:ilvl w:val="0"/>
          <w:numId w:val="4"/>
        </w:numPr>
        <w:spacing w:line="259" w:lineRule="auto"/>
        <w:rPr>
          <w:rFonts w:cstheme="minorBidi"/>
          <w:sz w:val="22"/>
          <w:szCs w:val="22"/>
        </w:rPr>
      </w:pPr>
      <w:r w:rsidRPr="00D86AB7">
        <w:rPr>
          <w:rFonts w:cstheme="minorBidi"/>
          <w:sz w:val="22"/>
          <w:szCs w:val="22"/>
        </w:rPr>
        <w:t xml:space="preserve">Bekanntgabe der Nominierten für den Green Product Award 2022. </w:t>
      </w:r>
    </w:p>
    <w:p w14:paraId="2654B62C" w14:textId="77777777" w:rsidR="004A08A8" w:rsidRPr="00D86AB7" w:rsidRDefault="004A08A8" w:rsidP="002230C4">
      <w:pPr>
        <w:pStyle w:val="Listenabsatz"/>
        <w:numPr>
          <w:ilvl w:val="0"/>
          <w:numId w:val="4"/>
        </w:numPr>
        <w:spacing w:line="259" w:lineRule="auto"/>
        <w:rPr>
          <w:rFonts w:cstheme="minorBidi"/>
          <w:sz w:val="22"/>
          <w:szCs w:val="22"/>
        </w:rPr>
      </w:pPr>
      <w:r w:rsidRPr="00D86AB7">
        <w:rPr>
          <w:rFonts w:cstheme="minorBidi"/>
          <w:sz w:val="22"/>
          <w:szCs w:val="22"/>
        </w:rPr>
        <w:t>Bestimmung der Gewinner durch die Jury. Zusätzliche Ermittlung des Publikumspreis durch eine öffentliche Abstimmung (60.000 Stimmen in 2021).</w:t>
      </w:r>
    </w:p>
    <w:p w14:paraId="1ADD7B72" w14:textId="747B1B2D" w:rsidR="004A08A8" w:rsidRPr="003D22A7" w:rsidRDefault="004A08A8" w:rsidP="002230C4">
      <w:pPr>
        <w:rPr>
          <w:rFonts w:ascii="Unit-Light" w:hAnsi="Unit-Light"/>
          <w:b/>
          <w:color w:val="70AD47" w:themeColor="accent6"/>
          <w:sz w:val="22"/>
        </w:rPr>
      </w:pPr>
      <w:r w:rsidRPr="003D22A7">
        <w:rPr>
          <w:rFonts w:ascii="Unit-Light" w:hAnsi="Unit-Light"/>
          <w:b/>
          <w:color w:val="70AD47" w:themeColor="accent6"/>
          <w:sz w:val="22"/>
        </w:rPr>
        <w:t>Die Jury des Green Product Award 2022:</w:t>
      </w:r>
    </w:p>
    <w:p w14:paraId="3DD58680" w14:textId="77777777" w:rsidR="004A08A8" w:rsidRPr="003D22A7" w:rsidRDefault="004A08A8" w:rsidP="002230C4">
      <w:pPr>
        <w:rPr>
          <w:rFonts w:ascii="Unit-Light" w:hAnsi="Unit-Light"/>
          <w:sz w:val="22"/>
        </w:rPr>
      </w:pPr>
      <w:r w:rsidRPr="003D22A7">
        <w:rPr>
          <w:rFonts w:ascii="Unit-Light" w:hAnsi="Unit-Light"/>
          <w:sz w:val="22"/>
        </w:rPr>
        <w:t>Prof. Martin Charter (Centre of Sustainable Design), Ludovico Durante (Staiy), Prof. Claus-Christian Eckhardt (Lund University), Karsten Bleymehl (The Circular Materials GmbH), Tina Kammer (InteriorPark.), Prof. Xin Liu (Tsinghua University), Katja Lucas (Dutch Design Week), Kiersten Muenchinger (University of Oregon), Johanna Neves Pimenta (md INTERIOR DESIGN ARCHITECTURE), Dr. Robert Pludra (Academy of Fine Arts Warsaw), Katja Reich (DBZ Deutsche BauZeitschrift), Mimi Sewalski (avocadostore.de), Jewell Sparks (BITHOUSE Venture Group / UNITED17 Ventures), Anna Theil (Studio Für Morgen), Sebastian Thies (nat-2 / thies 1856®), Hon. Prof. Meike Weber (Architektin und Kulturmanagerin), Michael Weber (Projektträger Jülich – PTJ), Julius Wiedemann (TASCHEN-Verlag), Melodie Abdollahi (Haus von Eden), Katja Keienberg (baby&amp;junior), Petra Schmatz (green Lifestyle), Raz Godelink (Parsons School of Design), Katrin de Louw (Trendfilter).</w:t>
      </w:r>
    </w:p>
    <w:p w14:paraId="4395BE48" w14:textId="329A0807" w:rsidR="004A08A8" w:rsidRPr="003D22A7" w:rsidRDefault="004A08A8" w:rsidP="004A08A8">
      <w:pPr>
        <w:rPr>
          <w:rFonts w:ascii="Unit-Light" w:hAnsi="Unit-Light"/>
          <w:sz w:val="22"/>
        </w:rPr>
      </w:pPr>
      <w:r w:rsidRPr="003D22A7">
        <w:rPr>
          <w:rFonts w:ascii="Unit-Light" w:hAnsi="Unit-Light"/>
          <w:sz w:val="22"/>
        </w:rPr>
        <w:lastRenderedPageBreak/>
        <w:t>Die feierliche Preisverleihung sowie die Ausstellung mit den ausgezeichneten Beiträgen findet im März 2022 anlässlich der Internationalen Handwerksmesse und parallel zur Munich Creative Business Week in München statt.</w:t>
      </w:r>
      <w:r w:rsidR="004F003E">
        <w:rPr>
          <w:rFonts w:ascii="Unit-Light" w:hAnsi="Unit-Light"/>
          <w:sz w:val="22"/>
        </w:rPr>
        <w:t xml:space="preserve"> </w:t>
      </w:r>
      <w:r w:rsidR="004F003E" w:rsidRPr="004F003E">
        <w:rPr>
          <w:rFonts w:ascii="Unit-Light" w:hAnsi="Unit-Light"/>
          <w:sz w:val="22"/>
          <w:lang w:val="de-DE"/>
        </w:rPr>
        <w:t>Weitere Ausstellung sind in Planung.</w:t>
      </w:r>
    </w:p>
    <w:p w14:paraId="62B1AB91" w14:textId="77777777" w:rsidR="004A08A8" w:rsidRPr="003D22A7" w:rsidRDefault="004A08A8" w:rsidP="004A08A8">
      <w:pPr>
        <w:rPr>
          <w:rFonts w:ascii="Unit-Light" w:hAnsi="Unit-Light"/>
          <w:b/>
          <w:color w:val="70AD47" w:themeColor="accent6"/>
          <w:sz w:val="22"/>
        </w:rPr>
      </w:pPr>
      <w:r w:rsidRPr="003D22A7">
        <w:rPr>
          <w:rFonts w:ascii="Unit-Light" w:hAnsi="Unit-Light"/>
          <w:b/>
          <w:color w:val="70AD47" w:themeColor="accent6"/>
          <w:sz w:val="22"/>
        </w:rPr>
        <w:t xml:space="preserve">Award Zeitplan </w:t>
      </w:r>
    </w:p>
    <w:p w14:paraId="550FCA97" w14:textId="48046121" w:rsidR="004A08A8" w:rsidRPr="003D22A7" w:rsidRDefault="0084685F" w:rsidP="00A64B36">
      <w:pPr>
        <w:tabs>
          <w:tab w:val="left" w:pos="1418"/>
        </w:tabs>
        <w:ind w:left="23" w:hanging="23"/>
        <w:jc w:val="left"/>
        <w:rPr>
          <w:rFonts w:ascii="Unit-Light" w:hAnsi="Unit-Light"/>
          <w:sz w:val="22"/>
        </w:rPr>
      </w:pPr>
      <w:r>
        <w:rPr>
          <w:rFonts w:ascii="Unit-Light" w:hAnsi="Unit-Light"/>
          <w:b/>
          <w:bCs/>
          <w:sz w:val="22"/>
        </w:rPr>
        <w:t>1</w:t>
      </w:r>
      <w:r w:rsidR="004A08A8" w:rsidRPr="003D22A7">
        <w:rPr>
          <w:rFonts w:ascii="Unit-Light" w:hAnsi="Unit-Light"/>
          <w:b/>
          <w:bCs/>
          <w:sz w:val="22"/>
        </w:rPr>
        <w:t>1.11.2021</w:t>
      </w:r>
      <w:r w:rsidR="004A08A8" w:rsidRPr="003D22A7">
        <w:rPr>
          <w:rFonts w:ascii="Unit-Light" w:hAnsi="Unit-Light"/>
          <w:sz w:val="22"/>
        </w:rPr>
        <w:t> </w:t>
      </w:r>
      <w:r w:rsidR="004A08A8" w:rsidRPr="003D22A7">
        <w:rPr>
          <w:rFonts w:ascii="Unit-Light" w:hAnsi="Unit-Light"/>
          <w:sz w:val="22"/>
        </w:rPr>
        <w:tab/>
        <w:t xml:space="preserve">Ende der Einreichungsphase </w:t>
      </w:r>
      <w:r w:rsidR="004A08A8" w:rsidRPr="003D22A7">
        <w:rPr>
          <w:rFonts w:ascii="Unit-Light" w:hAnsi="Unit-Light"/>
          <w:sz w:val="22"/>
        </w:rPr>
        <w:br/>
      </w:r>
      <w:r w:rsidR="004A08A8" w:rsidRPr="003D22A7">
        <w:rPr>
          <w:rFonts w:ascii="Unit-Light" w:hAnsi="Unit-Light"/>
          <w:b/>
          <w:bCs/>
          <w:sz w:val="22"/>
        </w:rPr>
        <w:t>13.12. 2021 </w:t>
      </w:r>
      <w:r w:rsidR="004A08A8" w:rsidRPr="003D22A7">
        <w:rPr>
          <w:rFonts w:ascii="Unit-Light" w:hAnsi="Unit-Light"/>
          <w:b/>
          <w:bCs/>
          <w:sz w:val="22"/>
        </w:rPr>
        <w:tab/>
      </w:r>
      <w:r w:rsidR="004A08A8" w:rsidRPr="003D22A7">
        <w:rPr>
          <w:rFonts w:ascii="Unit-Light" w:hAnsi="Unit-Light"/>
          <w:sz w:val="22"/>
        </w:rPr>
        <w:t>Bekanntgabe der Nominierten</w:t>
      </w:r>
      <w:r w:rsidR="004A08A8" w:rsidRPr="003D22A7">
        <w:rPr>
          <w:rFonts w:ascii="Unit-Light" w:hAnsi="Unit-Light"/>
          <w:sz w:val="22"/>
        </w:rPr>
        <w:br/>
      </w:r>
      <w:r w:rsidR="004A08A8" w:rsidRPr="003D22A7">
        <w:rPr>
          <w:rFonts w:ascii="Unit-Light" w:hAnsi="Unit-Light"/>
          <w:b/>
          <w:bCs/>
          <w:sz w:val="22"/>
        </w:rPr>
        <w:t xml:space="preserve">13.12. 31.1 22  </w:t>
      </w:r>
      <w:r w:rsidR="004A08A8" w:rsidRPr="003D22A7">
        <w:rPr>
          <w:rFonts w:ascii="Unit-Light" w:hAnsi="Unit-Light"/>
          <w:b/>
          <w:bCs/>
          <w:sz w:val="22"/>
        </w:rPr>
        <w:tab/>
      </w:r>
      <w:r w:rsidR="004A08A8" w:rsidRPr="003D22A7">
        <w:rPr>
          <w:rFonts w:ascii="Unit-Light" w:hAnsi="Unit-Light"/>
          <w:sz w:val="22"/>
        </w:rPr>
        <w:t xml:space="preserve">Jurybewertung &amp; Publikumswahl </w:t>
      </w:r>
      <w:r w:rsidR="004A08A8" w:rsidRPr="003D22A7">
        <w:rPr>
          <w:rFonts w:ascii="Unit-Light" w:hAnsi="Unit-Light"/>
          <w:sz w:val="22"/>
        </w:rPr>
        <w:br/>
      </w:r>
      <w:r w:rsidR="004A08A8" w:rsidRPr="003D22A7">
        <w:rPr>
          <w:rFonts w:ascii="Unit-Light" w:hAnsi="Unit-Light"/>
          <w:b/>
          <w:bCs/>
          <w:sz w:val="22"/>
        </w:rPr>
        <w:t>09.03. 2022 </w:t>
      </w:r>
      <w:r w:rsidR="004A08A8" w:rsidRPr="003D22A7">
        <w:rPr>
          <w:rFonts w:ascii="Unit-Light" w:hAnsi="Unit-Light"/>
          <w:b/>
          <w:bCs/>
          <w:sz w:val="22"/>
        </w:rPr>
        <w:tab/>
      </w:r>
      <w:r w:rsidR="004A08A8" w:rsidRPr="003D22A7">
        <w:rPr>
          <w:rFonts w:ascii="Unit-Light" w:hAnsi="Unit-Light"/>
          <w:sz w:val="22"/>
        </w:rPr>
        <w:t>Preisverleihung &amp; Ausstellungstart</w:t>
      </w:r>
    </w:p>
    <w:p w14:paraId="59DBF8CB" w14:textId="286BBC09" w:rsidR="004A08A8" w:rsidRPr="00B81298" w:rsidRDefault="00B81298" w:rsidP="00B81298">
      <w:pPr>
        <w:jc w:val="left"/>
        <w:rPr>
          <w:rFonts w:ascii="Unit-Light" w:hAnsi="Unit-Light"/>
          <w:color w:val="0000FF"/>
          <w:sz w:val="22"/>
          <w:u w:val="single"/>
        </w:rPr>
      </w:pPr>
      <w:r w:rsidRPr="00434F07">
        <w:rPr>
          <w:rFonts w:ascii="Unit-Light" w:hAnsi="Unit-Light"/>
          <w:b/>
          <w:color w:val="70AD47" w:themeColor="accent6"/>
          <w:sz w:val="22"/>
        </w:rPr>
        <w:t xml:space="preserve">Weitere Informationen </w:t>
      </w:r>
      <w:r w:rsidRPr="00434F07">
        <w:rPr>
          <w:rFonts w:ascii="Unit-Light" w:hAnsi="Unit-Light"/>
          <w:b/>
          <w:color w:val="70AD47" w:themeColor="accent6"/>
          <w:sz w:val="22"/>
        </w:rPr>
        <w:br/>
      </w:r>
      <w:r w:rsidRPr="007E5B10">
        <w:rPr>
          <w:rFonts w:ascii="Unit-Light" w:hAnsi="Unit-Light"/>
          <w:sz w:val="22"/>
        </w:rPr>
        <w:t xml:space="preserve">Green Product Award: </w:t>
      </w:r>
      <w:r>
        <w:rPr>
          <w:rFonts w:ascii="Unit-Light" w:hAnsi="Unit-Light"/>
          <w:sz w:val="22"/>
        </w:rPr>
        <w:tab/>
      </w:r>
      <w:hyperlink r:id="rId7" w:history="1">
        <w:r w:rsidRPr="00C411B8">
          <w:rPr>
            <w:rStyle w:val="Hyperlink"/>
            <w:rFonts w:ascii="Unit-Light" w:hAnsi="Unit-Light"/>
            <w:sz w:val="22"/>
          </w:rPr>
          <w:t>https://gp-award.com/de/gpaward</w:t>
        </w:r>
      </w:hyperlink>
      <w:r w:rsidRPr="007E5B10">
        <w:rPr>
          <w:rFonts w:ascii="Unit-Light" w:hAnsi="Unit-Light"/>
          <w:sz w:val="22"/>
        </w:rPr>
        <w:br/>
      </w:r>
      <w:r w:rsidRPr="00410DDD">
        <w:rPr>
          <w:rFonts w:ascii="Unit-Light" w:hAnsi="Unit-Light"/>
          <w:sz w:val="22"/>
        </w:rPr>
        <w:t xml:space="preserve">Green Concept Award: </w:t>
      </w:r>
      <w:r>
        <w:rPr>
          <w:rFonts w:ascii="Unit-Light" w:hAnsi="Unit-Light"/>
          <w:sz w:val="22"/>
        </w:rPr>
        <w:tab/>
      </w:r>
      <w:hyperlink r:id="rId8" w:history="1">
        <w:r w:rsidRPr="00C411B8">
          <w:rPr>
            <w:rStyle w:val="Hyperlink"/>
            <w:rFonts w:ascii="Unit-Light" w:hAnsi="Unit-Light"/>
            <w:sz w:val="22"/>
          </w:rPr>
          <w:t>https://gp-award.com/de/gcaward</w:t>
        </w:r>
      </w:hyperlink>
      <w:r>
        <w:rPr>
          <w:rStyle w:val="Hyperlink"/>
          <w:rFonts w:ascii="Unit-Light" w:hAnsi="Unit-Light"/>
          <w:sz w:val="22"/>
        </w:rPr>
        <w:br/>
      </w:r>
      <w:r>
        <w:rPr>
          <w:rFonts w:ascii="Unit-Light" w:hAnsi="Unit-Light"/>
          <w:sz w:val="22"/>
        </w:rPr>
        <w:t xml:space="preserve">Pressekit: </w:t>
      </w:r>
      <w:r>
        <w:rPr>
          <w:rFonts w:ascii="Unit-Light" w:hAnsi="Unit-Light"/>
          <w:sz w:val="22"/>
        </w:rPr>
        <w:tab/>
      </w:r>
      <w:r>
        <w:rPr>
          <w:rFonts w:ascii="Unit-Light" w:hAnsi="Unit-Light"/>
          <w:sz w:val="22"/>
        </w:rPr>
        <w:tab/>
      </w:r>
      <w:hyperlink r:id="rId9" w:history="1">
        <w:r w:rsidRPr="00C411B8">
          <w:rPr>
            <w:rStyle w:val="Hyperlink"/>
            <w:rFonts w:ascii="Unit-Light" w:hAnsi="Unit-Light"/>
            <w:sz w:val="22"/>
          </w:rPr>
          <w:t>https://www.gp-award.com/de/press</w:t>
        </w:r>
      </w:hyperlink>
      <w:r>
        <w:rPr>
          <w:rFonts w:ascii="Unit-Light" w:hAnsi="Unit-Light"/>
          <w:sz w:val="22"/>
        </w:rPr>
        <w:t xml:space="preserve"> </w:t>
      </w:r>
    </w:p>
    <w:p w14:paraId="66E459D6" w14:textId="77777777" w:rsidR="004A08A8" w:rsidRPr="003D22A7" w:rsidRDefault="004A08A8" w:rsidP="004A08A8">
      <w:pPr>
        <w:rPr>
          <w:rFonts w:ascii="Unit-Light" w:hAnsi="Unit-Light"/>
          <w:b/>
          <w:color w:val="70AD47" w:themeColor="accent6"/>
          <w:sz w:val="22"/>
        </w:rPr>
      </w:pPr>
      <w:r w:rsidRPr="003D22A7">
        <w:rPr>
          <w:rFonts w:ascii="Unit-Light" w:hAnsi="Unit-Light"/>
          <w:b/>
          <w:color w:val="70AD47" w:themeColor="accent6"/>
          <w:sz w:val="22"/>
        </w:rPr>
        <w:t>Green Future Club</w:t>
      </w:r>
    </w:p>
    <w:p w14:paraId="5A49692F" w14:textId="481963E9" w:rsidR="00362668" w:rsidRPr="00B81298" w:rsidRDefault="004A08A8" w:rsidP="00B81298">
      <w:pPr>
        <w:rPr>
          <w:rFonts w:ascii="Unit-Light" w:hAnsi="Unit-Light"/>
          <w:color w:val="0000FF"/>
          <w:sz w:val="22"/>
          <w:u w:val="single"/>
        </w:rPr>
      </w:pPr>
      <w:r w:rsidRPr="003D22A7">
        <w:rPr>
          <w:rFonts w:ascii="Unit-Light" w:hAnsi="Unit-Light"/>
          <w:sz w:val="22"/>
        </w:rPr>
        <w:t>Unter dem Claim ‚Let’s design the future‘ möchte der Green Future Club zu einer Zukunft beitragen, in der alle Produkte nachhaltig sind. Ihren Auftrag sieht die Vereinigung darin, eine weitgefächerte Gruppe von Pionieren, Denkern, Machern und Visionären zusammenzubringen, um die nachhaltige Entwicklung von Materialien, Produkten und Dienstleistungen zu f</w:t>
      </w:r>
      <w:r w:rsidRPr="003D22A7">
        <w:rPr>
          <w:rFonts w:ascii="Unit-Light" w:hAnsi="Unit-Light"/>
          <w:sz w:val="22"/>
          <w:lang w:val="sv-SE"/>
        </w:rPr>
        <w:t>ö</w:t>
      </w:r>
      <w:r w:rsidRPr="003D22A7">
        <w:rPr>
          <w:rFonts w:ascii="Unit-Light" w:hAnsi="Unit-Light"/>
          <w:sz w:val="22"/>
        </w:rPr>
        <w:t xml:space="preserve">rdern. Mit dem Green Product Award und Green Concept Award macht der Club seit 2013 auf internationaler Ebene ‚Best Practice‘-Beispiele einer breiten Öffentlichkeit zugänglich – für mehr Sichtbarkeit von Produkten, Dienstleistungen und Konzepten, die Verbraucher und Industrie global inspirieren sollen. Der Green Future Club ist ein weltweites Netzwerk, das sich stetig erweitert – durch neue Mitglieder und Multiplikatoren, wachsende Online- und Präsenzveranstaltungen sowie ein facettenreiches Agieren. </w:t>
      </w:r>
      <w:hyperlink r:id="rId10" w:history="1">
        <w:r w:rsidRPr="003D22A7">
          <w:rPr>
            <w:rStyle w:val="Hyperlink"/>
            <w:rFonts w:ascii="Unit-Light" w:hAnsi="Unit-Light"/>
            <w:sz w:val="22"/>
          </w:rPr>
          <w:t>https://www.greenfutureclub.com</w:t>
        </w:r>
      </w:hyperlink>
    </w:p>
    <w:p w14:paraId="7DE18D0D" w14:textId="77777777" w:rsidR="00B81298" w:rsidRDefault="00B81298" w:rsidP="00EE45A6">
      <w:pPr>
        <w:rPr>
          <w:rFonts w:ascii="Unit-Light" w:hAnsi="Unit-Light"/>
          <w:b/>
          <w:color w:val="70AD47" w:themeColor="accent6"/>
          <w:sz w:val="22"/>
          <w:lang w:val="de-DE"/>
        </w:rPr>
      </w:pPr>
    </w:p>
    <w:p w14:paraId="4A7C963E" w14:textId="775E75FE" w:rsidR="00EE45A6" w:rsidRDefault="00810591" w:rsidP="00EE45A6">
      <w:pPr>
        <w:rPr>
          <w:rFonts w:ascii="Unit-Light" w:hAnsi="Unit-Light"/>
          <w:b/>
          <w:color w:val="70AD47" w:themeColor="accent6"/>
          <w:sz w:val="22"/>
          <w:lang w:val="de-DE"/>
        </w:rPr>
      </w:pPr>
      <w:r>
        <w:rPr>
          <w:rFonts w:ascii="Unit-Light" w:hAnsi="Unit-Light"/>
          <w:b/>
          <w:color w:val="70AD47" w:themeColor="accent6"/>
          <w:sz w:val="22"/>
          <w:lang w:val="de-DE"/>
        </w:rPr>
        <w:t>Green Future Club</w:t>
      </w:r>
      <w:r w:rsidR="00EE45A6" w:rsidRPr="00434F07">
        <w:rPr>
          <w:rFonts w:ascii="Unit-Light" w:hAnsi="Unit-Light"/>
          <w:b/>
          <w:color w:val="70AD47" w:themeColor="accent6"/>
          <w:sz w:val="22"/>
          <w:lang w:val="de-DE"/>
        </w:rPr>
        <w:t xml:space="preserve"> Pressekontakt</w:t>
      </w:r>
    </w:p>
    <w:p w14:paraId="68388F31" w14:textId="5D13CF4F" w:rsidR="003B4369" w:rsidRPr="00DF6A32" w:rsidRDefault="000B6334" w:rsidP="00AC03A4">
      <w:pPr>
        <w:widowControl w:val="0"/>
        <w:tabs>
          <w:tab w:val="left" w:pos="8566"/>
          <w:tab w:val="left" w:pos="9132"/>
        </w:tabs>
        <w:spacing w:line="240" w:lineRule="auto"/>
        <w:ind w:right="992"/>
        <w:jc w:val="left"/>
        <w:rPr>
          <w:rStyle w:val="Ohne"/>
          <w:rFonts w:ascii="Unit-Light" w:hAnsi="Unit-Light"/>
          <w:sz w:val="22"/>
          <w:lang w:val="de-DE"/>
        </w:rPr>
      </w:pPr>
      <w:r w:rsidRPr="00DF6A32">
        <w:rPr>
          <w:rStyle w:val="Ohne"/>
          <w:rFonts w:ascii="Unit-Light" w:hAnsi="Unit-Light"/>
          <w:b/>
          <w:bCs/>
          <w:sz w:val="22"/>
          <w:lang w:val="de-DE"/>
        </w:rPr>
        <w:t>Sandy Karstä</w:t>
      </w:r>
      <w:r w:rsidRPr="000B6334">
        <w:rPr>
          <w:rStyle w:val="Ohne"/>
          <w:rFonts w:ascii="Unit-Light" w:hAnsi="Unit-Light"/>
          <w:b/>
          <w:bCs/>
          <w:sz w:val="22"/>
          <w:lang w:val="da-DK"/>
        </w:rPr>
        <w:t>dt</w:t>
      </w:r>
      <w:r>
        <w:rPr>
          <w:rStyle w:val="Ohne"/>
          <w:rFonts w:ascii="Unit-Light" w:hAnsi="Unit-Light"/>
          <w:b/>
          <w:bCs/>
          <w:sz w:val="22"/>
          <w:lang w:val="da-DK"/>
        </w:rPr>
        <w:br/>
      </w:r>
      <w:r w:rsidR="005A4380" w:rsidRPr="00C4242B">
        <w:rPr>
          <w:rFonts w:ascii="Unit-Light" w:hAnsi="Unit-Light"/>
          <w:sz w:val="22"/>
          <w:lang w:val="de-DE"/>
        </w:rPr>
        <w:t>welcome design. PR | Communication</w:t>
      </w:r>
      <w:r w:rsidR="005A4380" w:rsidRPr="00C4242B">
        <w:rPr>
          <w:rFonts w:ascii="Unit-Light" w:hAnsi="Unit-Light"/>
          <w:sz w:val="22"/>
          <w:lang w:val="de-DE"/>
        </w:rPr>
        <w:br/>
      </w:r>
      <w:r w:rsidRPr="00DF6A32">
        <w:rPr>
          <w:rStyle w:val="Ohne"/>
          <w:rFonts w:ascii="Unit-Light" w:hAnsi="Unit-Light"/>
          <w:sz w:val="22"/>
          <w:lang w:val="de-DE"/>
        </w:rPr>
        <w:t>Sieglarer Straße 96</w:t>
      </w:r>
      <w:r w:rsidR="00C4242B">
        <w:rPr>
          <w:rStyle w:val="Ohne"/>
          <w:rFonts w:ascii="Unit-Light" w:hAnsi="Unit-Light"/>
          <w:sz w:val="22"/>
          <w:lang w:val="de-DE"/>
        </w:rPr>
        <w:t xml:space="preserve">, </w:t>
      </w:r>
      <w:r w:rsidRPr="00DF6A32">
        <w:rPr>
          <w:rStyle w:val="Ohne"/>
          <w:rFonts w:ascii="Unit-Light" w:hAnsi="Unit-Light"/>
          <w:sz w:val="22"/>
          <w:lang w:val="de-DE"/>
        </w:rPr>
        <w:t>53842 Troisdorf | GERMANY</w:t>
      </w:r>
    </w:p>
    <w:p w14:paraId="63C6051E" w14:textId="39074D98" w:rsidR="000B6334" w:rsidRPr="003B4369" w:rsidRDefault="000B6334" w:rsidP="00366302">
      <w:pPr>
        <w:widowControl w:val="0"/>
        <w:tabs>
          <w:tab w:val="left" w:pos="8566"/>
          <w:tab w:val="left" w:pos="9132"/>
        </w:tabs>
        <w:spacing w:line="240" w:lineRule="auto"/>
        <w:ind w:right="992"/>
        <w:jc w:val="left"/>
        <w:rPr>
          <w:rStyle w:val="Ohne"/>
          <w:rFonts w:ascii="Unit-Light" w:hAnsi="Unit-Light"/>
          <w:sz w:val="22"/>
          <w:lang w:val="it-IT"/>
        </w:rPr>
      </w:pPr>
      <w:r w:rsidRPr="000B6334">
        <w:rPr>
          <w:rStyle w:val="Ohne"/>
          <w:rFonts w:ascii="Unit-Light" w:hAnsi="Unit-Light"/>
          <w:sz w:val="22"/>
          <w:lang w:val="it-IT"/>
        </w:rPr>
        <w:t>Phone +49 (0)2241-16 959 28</w:t>
      </w:r>
      <w:r>
        <w:rPr>
          <w:rStyle w:val="Ohne"/>
          <w:rFonts w:ascii="Unit-Light" w:hAnsi="Unit-Light"/>
          <w:sz w:val="22"/>
          <w:lang w:val="it-IT"/>
        </w:rPr>
        <w:br/>
      </w:r>
      <w:r w:rsidRPr="000B6334">
        <w:rPr>
          <w:rStyle w:val="Ohne"/>
          <w:rFonts w:ascii="Unit-Light" w:hAnsi="Unit-Light"/>
          <w:sz w:val="22"/>
          <w:lang w:val="it-IT"/>
        </w:rPr>
        <w:t>Mobile +49 (0)160-44 050 96</w:t>
      </w:r>
    </w:p>
    <w:p w14:paraId="45EDF842" w14:textId="423EEB4A" w:rsidR="009C77A2" w:rsidRDefault="006F3021" w:rsidP="009C77A2">
      <w:pPr>
        <w:spacing w:line="240" w:lineRule="auto"/>
        <w:rPr>
          <w:rFonts w:ascii="Unit-Light" w:hAnsi="Unit-Light"/>
          <w:sz w:val="22"/>
        </w:rPr>
      </w:pPr>
      <w:hyperlink r:id="rId11" w:history="1">
        <w:r w:rsidR="00C4242B" w:rsidRPr="007268A4">
          <w:rPr>
            <w:rStyle w:val="Hyperlink"/>
            <w:rFonts w:ascii="Unit-Light" w:hAnsi="Unit-Light"/>
            <w:sz w:val="22"/>
          </w:rPr>
          <w:t>presse@gp-award.com</w:t>
        </w:r>
      </w:hyperlink>
      <w:r w:rsidR="00C4242B">
        <w:rPr>
          <w:rFonts w:ascii="Unit-Light" w:hAnsi="Unit-Light"/>
          <w:sz w:val="22"/>
        </w:rPr>
        <w:t xml:space="preserve"> </w:t>
      </w:r>
    </w:p>
    <w:p w14:paraId="43CB4CE2" w14:textId="1C82A302" w:rsidR="000B6334" w:rsidRPr="00210712" w:rsidRDefault="006F3021" w:rsidP="003663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Unit-Light" w:hAnsi="Unit-Light"/>
          <w:b/>
          <w:color w:val="70AD47" w:themeColor="accent6"/>
          <w:sz w:val="22"/>
        </w:rPr>
      </w:pPr>
      <w:hyperlink r:id="rId12" w:history="1">
        <w:r w:rsidR="00EE2681" w:rsidRPr="00210712">
          <w:rPr>
            <w:rStyle w:val="Hyperlink"/>
            <w:rFonts w:ascii="Unit-Light" w:hAnsi="Unit-Light"/>
            <w:sz w:val="22"/>
            <w:lang w:val="en-US"/>
          </w:rPr>
          <w:t>Facebook</w:t>
        </w:r>
      </w:hyperlink>
      <w:r w:rsidR="00EE2681" w:rsidRPr="00210712">
        <w:rPr>
          <w:rFonts w:ascii="Unit-Light" w:hAnsi="Unit-Light"/>
          <w:color w:val="000000"/>
          <w:sz w:val="22"/>
          <w:lang w:val="en-US"/>
        </w:rPr>
        <w:t xml:space="preserve"> </w:t>
      </w:r>
      <w:hyperlink r:id="rId13" w:history="1">
        <w:r w:rsidR="00EE2681" w:rsidRPr="00210712">
          <w:rPr>
            <w:rStyle w:val="Hyperlink"/>
            <w:rFonts w:ascii="Unit-Light" w:hAnsi="Unit-Light"/>
            <w:sz w:val="22"/>
            <w:lang w:val="en-US"/>
          </w:rPr>
          <w:t>Instagram</w:t>
        </w:r>
      </w:hyperlink>
      <w:r w:rsidR="00EE2681" w:rsidRPr="00210712">
        <w:rPr>
          <w:rFonts w:ascii="Unit-Light" w:hAnsi="Unit-Light"/>
          <w:color w:val="000000"/>
          <w:sz w:val="22"/>
          <w:lang w:val="en-US"/>
        </w:rPr>
        <w:t xml:space="preserve"> </w:t>
      </w:r>
      <w:hyperlink r:id="rId14" w:history="1">
        <w:r w:rsidR="00EE2681" w:rsidRPr="00210712">
          <w:rPr>
            <w:rStyle w:val="Hyperlink"/>
            <w:rFonts w:ascii="Unit-Light" w:hAnsi="Unit-Light"/>
            <w:sz w:val="22"/>
          </w:rPr>
          <w:t>LinkedIn</w:t>
        </w:r>
      </w:hyperlink>
      <w:r w:rsidR="00EE2681" w:rsidRPr="00210712">
        <w:rPr>
          <w:rFonts w:ascii="Unit-Light" w:hAnsi="Unit-Light"/>
          <w:sz w:val="22"/>
        </w:rPr>
        <w:t xml:space="preserve"> </w:t>
      </w:r>
      <w:hyperlink r:id="rId15" w:history="1">
        <w:r w:rsidR="00EE2681" w:rsidRPr="00210712">
          <w:rPr>
            <w:rStyle w:val="Hyperlink"/>
            <w:rFonts w:ascii="Unit-Light" w:hAnsi="Unit-Light"/>
            <w:sz w:val="22"/>
            <w:lang w:val="en-US"/>
          </w:rPr>
          <w:t>Twitter</w:t>
        </w:r>
      </w:hyperlink>
      <w:r w:rsidR="00EE2681" w:rsidRPr="00210712">
        <w:rPr>
          <w:rStyle w:val="Hyperlink"/>
          <w:rFonts w:ascii="Unit-Light" w:hAnsi="Unit-Light"/>
          <w:sz w:val="22"/>
          <w:lang w:val="en-US"/>
        </w:rPr>
        <w:t xml:space="preserve"> </w:t>
      </w:r>
    </w:p>
    <w:sectPr w:rsidR="000B6334" w:rsidRPr="00210712" w:rsidSect="00C42A3E">
      <w:headerReference w:type="default" r:id="rId16"/>
      <w:headerReference w:type="first" r:id="rId17"/>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3D26C" w14:textId="77777777" w:rsidR="006F3021" w:rsidRDefault="006F3021" w:rsidP="00BD4F4F">
      <w:pPr>
        <w:spacing w:after="0" w:line="240" w:lineRule="auto"/>
      </w:pPr>
      <w:r>
        <w:separator/>
      </w:r>
    </w:p>
  </w:endnote>
  <w:endnote w:type="continuationSeparator" w:id="0">
    <w:p w14:paraId="49DA31E1" w14:textId="77777777" w:rsidR="006F3021" w:rsidRDefault="006F3021" w:rsidP="00BD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t-Light">
    <w:panose1 w:val="020B05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88F05" w14:textId="77777777" w:rsidR="006F3021" w:rsidRDefault="006F3021" w:rsidP="00BD4F4F">
      <w:pPr>
        <w:spacing w:after="0" w:line="240" w:lineRule="auto"/>
      </w:pPr>
      <w:r>
        <w:separator/>
      </w:r>
    </w:p>
  </w:footnote>
  <w:footnote w:type="continuationSeparator" w:id="0">
    <w:p w14:paraId="2C1EBA76" w14:textId="77777777" w:rsidR="006F3021" w:rsidRDefault="006F3021" w:rsidP="00BD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D244" w14:textId="09053174" w:rsidR="00BD4F4F" w:rsidRDefault="00BD4F4F" w:rsidP="00BD4F4F">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F0D5" w14:textId="05227BEC" w:rsidR="00C42A3E" w:rsidRPr="00FC2D89" w:rsidRDefault="001D38CB" w:rsidP="00FC2D89">
    <w:pPr>
      <w:pStyle w:val="Kopfzeile"/>
      <w:ind w:left="-1417"/>
      <w:rPr>
        <w:lang w:val="de-DE"/>
      </w:rPr>
    </w:pPr>
    <w:r>
      <w:rPr>
        <w:rFonts w:ascii="Unit-Light" w:hAnsi="Unit-Light"/>
        <w:noProof/>
        <w:sz w:val="22"/>
        <w:lang w:val="de-DE"/>
      </w:rPr>
      <w:drawing>
        <wp:inline distT="0" distB="0" distL="0" distR="0" wp14:anchorId="55D52B65" wp14:editId="0A23C319">
          <wp:extent cx="7578299" cy="2266950"/>
          <wp:effectExtent l="0" t="0" r="3810" b="0"/>
          <wp:docPr id="2" name="Grafik 2" descr="Ein Bild, das Text, Gr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Gras, drauße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6442" b="12840"/>
                  <a:stretch/>
                </pic:blipFill>
                <pic:spPr bwMode="auto">
                  <a:xfrm>
                    <a:off x="0" y="0"/>
                    <a:ext cx="7632936" cy="228329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F3FD8"/>
    <w:multiLevelType w:val="hybridMultilevel"/>
    <w:tmpl w:val="F85A5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59697B"/>
    <w:multiLevelType w:val="hybridMultilevel"/>
    <w:tmpl w:val="C3785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F075E6"/>
    <w:multiLevelType w:val="hybridMultilevel"/>
    <w:tmpl w:val="B76C4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441FEB"/>
    <w:multiLevelType w:val="hybridMultilevel"/>
    <w:tmpl w:val="3ADA05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347"/>
    <w:rsid w:val="00000770"/>
    <w:rsid w:val="00015120"/>
    <w:rsid w:val="00025529"/>
    <w:rsid w:val="00037125"/>
    <w:rsid w:val="00055683"/>
    <w:rsid w:val="00074B4A"/>
    <w:rsid w:val="000770EF"/>
    <w:rsid w:val="000811C6"/>
    <w:rsid w:val="000A4814"/>
    <w:rsid w:val="000B44A9"/>
    <w:rsid w:val="000B59BA"/>
    <w:rsid w:val="000B6334"/>
    <w:rsid w:val="000C2EA6"/>
    <w:rsid w:val="00120F71"/>
    <w:rsid w:val="00123174"/>
    <w:rsid w:val="00180802"/>
    <w:rsid w:val="00185BCD"/>
    <w:rsid w:val="00194F41"/>
    <w:rsid w:val="00195EFB"/>
    <w:rsid w:val="001B0AA8"/>
    <w:rsid w:val="001D38CB"/>
    <w:rsid w:val="0020186F"/>
    <w:rsid w:val="00210712"/>
    <w:rsid w:val="00211B25"/>
    <w:rsid w:val="002230C4"/>
    <w:rsid w:val="0024087F"/>
    <w:rsid w:val="0030748B"/>
    <w:rsid w:val="003157A2"/>
    <w:rsid w:val="00315E8E"/>
    <w:rsid w:val="00331C33"/>
    <w:rsid w:val="00362668"/>
    <w:rsid w:val="00366302"/>
    <w:rsid w:val="003B4369"/>
    <w:rsid w:val="003C7068"/>
    <w:rsid w:val="003D22A7"/>
    <w:rsid w:val="0040117D"/>
    <w:rsid w:val="00410DDD"/>
    <w:rsid w:val="00415455"/>
    <w:rsid w:val="00422379"/>
    <w:rsid w:val="00434F07"/>
    <w:rsid w:val="00445D42"/>
    <w:rsid w:val="00451A6C"/>
    <w:rsid w:val="00470918"/>
    <w:rsid w:val="00492AE6"/>
    <w:rsid w:val="004A08A8"/>
    <w:rsid w:val="004D74E4"/>
    <w:rsid w:val="004D7C56"/>
    <w:rsid w:val="004F003E"/>
    <w:rsid w:val="005155FF"/>
    <w:rsid w:val="005A4380"/>
    <w:rsid w:val="005A7355"/>
    <w:rsid w:val="005B15BE"/>
    <w:rsid w:val="005E53B9"/>
    <w:rsid w:val="005E685F"/>
    <w:rsid w:val="00614A25"/>
    <w:rsid w:val="0066198A"/>
    <w:rsid w:val="006671D0"/>
    <w:rsid w:val="006B4025"/>
    <w:rsid w:val="006E4B41"/>
    <w:rsid w:val="006F3021"/>
    <w:rsid w:val="00711DFA"/>
    <w:rsid w:val="00724D69"/>
    <w:rsid w:val="00765136"/>
    <w:rsid w:val="00772914"/>
    <w:rsid w:val="007742A7"/>
    <w:rsid w:val="00783812"/>
    <w:rsid w:val="007D44BE"/>
    <w:rsid w:val="007E5B10"/>
    <w:rsid w:val="007E6947"/>
    <w:rsid w:val="007F7CDC"/>
    <w:rsid w:val="00810591"/>
    <w:rsid w:val="0084685F"/>
    <w:rsid w:val="00865184"/>
    <w:rsid w:val="00875DE9"/>
    <w:rsid w:val="0088450D"/>
    <w:rsid w:val="008A26E2"/>
    <w:rsid w:val="008A574F"/>
    <w:rsid w:val="008A6BC3"/>
    <w:rsid w:val="008B142A"/>
    <w:rsid w:val="008B78A4"/>
    <w:rsid w:val="008C111B"/>
    <w:rsid w:val="008C19F1"/>
    <w:rsid w:val="008E0197"/>
    <w:rsid w:val="008F0324"/>
    <w:rsid w:val="008F6312"/>
    <w:rsid w:val="00920990"/>
    <w:rsid w:val="00931680"/>
    <w:rsid w:val="009319BF"/>
    <w:rsid w:val="0095532C"/>
    <w:rsid w:val="00962FA7"/>
    <w:rsid w:val="009964DA"/>
    <w:rsid w:val="009C77A2"/>
    <w:rsid w:val="009D41B6"/>
    <w:rsid w:val="009E2F21"/>
    <w:rsid w:val="00A02E5D"/>
    <w:rsid w:val="00A22E17"/>
    <w:rsid w:val="00A479F5"/>
    <w:rsid w:val="00A52275"/>
    <w:rsid w:val="00A64B36"/>
    <w:rsid w:val="00A76715"/>
    <w:rsid w:val="00AA201D"/>
    <w:rsid w:val="00AA798D"/>
    <w:rsid w:val="00AC03A4"/>
    <w:rsid w:val="00B05CF6"/>
    <w:rsid w:val="00B81298"/>
    <w:rsid w:val="00B97B31"/>
    <w:rsid w:val="00BB65F4"/>
    <w:rsid w:val="00BD4F4F"/>
    <w:rsid w:val="00BE4A25"/>
    <w:rsid w:val="00C331DC"/>
    <w:rsid w:val="00C4242B"/>
    <w:rsid w:val="00C42A3E"/>
    <w:rsid w:val="00C8144D"/>
    <w:rsid w:val="00C87BFB"/>
    <w:rsid w:val="00C94E80"/>
    <w:rsid w:val="00CA63D4"/>
    <w:rsid w:val="00CE10B3"/>
    <w:rsid w:val="00D31347"/>
    <w:rsid w:val="00D5121A"/>
    <w:rsid w:val="00D86AB7"/>
    <w:rsid w:val="00DF6A32"/>
    <w:rsid w:val="00E42A3E"/>
    <w:rsid w:val="00E9271F"/>
    <w:rsid w:val="00EB6D38"/>
    <w:rsid w:val="00EC29DC"/>
    <w:rsid w:val="00EE2681"/>
    <w:rsid w:val="00EE45A6"/>
    <w:rsid w:val="00F00283"/>
    <w:rsid w:val="00F02706"/>
    <w:rsid w:val="00F02E45"/>
    <w:rsid w:val="00F23D96"/>
    <w:rsid w:val="00F45C38"/>
    <w:rsid w:val="00F75F2F"/>
    <w:rsid w:val="00F84626"/>
    <w:rsid w:val="00FA54A8"/>
    <w:rsid w:val="00FB606A"/>
    <w:rsid w:val="00FC2D89"/>
    <w:rsid w:val="00FF25B2"/>
    <w:rsid w:val="03E15225"/>
    <w:rsid w:val="2D7C518B"/>
    <w:rsid w:val="4EEC9B74"/>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14654"/>
  <w15:chartTrackingRefBased/>
  <w15:docId w15:val="{BF81AB75-4A73-4B4C-AFC9-FD803C33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63D4"/>
    <w:pPr>
      <w:spacing w:line="360" w:lineRule="auto"/>
      <w:jc w:val="both"/>
    </w:pPr>
    <w:rPr>
      <w:rFonts w:ascii="Times New Roman" w:hAnsi="Times New Roman"/>
      <w:sz w:val="24"/>
    </w:rPr>
  </w:style>
  <w:style w:type="paragraph" w:styleId="berschrift3">
    <w:name w:val="heading 3"/>
    <w:basedOn w:val="Standard"/>
    <w:link w:val="berschrift3Zchn"/>
    <w:uiPriority w:val="9"/>
    <w:qFormat/>
    <w:rsid w:val="007742A7"/>
    <w:pPr>
      <w:spacing w:before="100" w:beforeAutospacing="1" w:after="100" w:afterAutospacing="1" w:line="240" w:lineRule="auto"/>
      <w:jc w:val="left"/>
      <w:outlineLvl w:val="2"/>
    </w:pPr>
    <w:rPr>
      <w:rFonts w:eastAsia="Times New Roman" w:cs="Times New Roman"/>
      <w:b/>
      <w:bCs/>
      <w:sz w:val="27"/>
      <w:szCs w:val="27"/>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742A7"/>
    <w:rPr>
      <w:rFonts w:ascii="Times New Roman" w:eastAsia="Times New Roman" w:hAnsi="Times New Roman" w:cs="Times New Roman"/>
      <w:b/>
      <w:bCs/>
      <w:sz w:val="27"/>
      <w:szCs w:val="27"/>
      <w:lang w:eastAsia="en-GB"/>
    </w:rPr>
  </w:style>
  <w:style w:type="paragraph" w:styleId="StandardWeb">
    <w:name w:val="Normal (Web)"/>
    <w:basedOn w:val="Standard"/>
    <w:uiPriority w:val="99"/>
    <w:semiHidden/>
    <w:unhideWhenUsed/>
    <w:rsid w:val="007742A7"/>
    <w:pPr>
      <w:spacing w:before="100" w:beforeAutospacing="1" w:after="100" w:afterAutospacing="1" w:line="240" w:lineRule="auto"/>
      <w:jc w:val="left"/>
    </w:pPr>
    <w:rPr>
      <w:rFonts w:eastAsia="Times New Roman" w:cs="Times New Roman"/>
      <w:szCs w:val="24"/>
      <w:lang w:eastAsia="en-GB"/>
    </w:rPr>
  </w:style>
  <w:style w:type="character" w:styleId="Hyperlink">
    <w:name w:val="Hyperlink"/>
    <w:basedOn w:val="Absatz-Standardschriftart"/>
    <w:uiPriority w:val="99"/>
    <w:unhideWhenUsed/>
    <w:rsid w:val="007742A7"/>
    <w:rPr>
      <w:color w:val="0000FF"/>
      <w:u w:val="single"/>
    </w:rPr>
  </w:style>
  <w:style w:type="character" w:styleId="NichtaufgelsteErwhnung">
    <w:name w:val="Unresolved Mention"/>
    <w:basedOn w:val="Absatz-Standardschriftart"/>
    <w:uiPriority w:val="99"/>
    <w:semiHidden/>
    <w:unhideWhenUsed/>
    <w:rsid w:val="00765136"/>
    <w:rPr>
      <w:color w:val="605E5C"/>
      <w:shd w:val="clear" w:color="auto" w:fill="E1DFDD"/>
    </w:rPr>
  </w:style>
  <w:style w:type="paragraph" w:styleId="Listenabsatz">
    <w:name w:val="List Paragraph"/>
    <w:basedOn w:val="Standard"/>
    <w:uiPriority w:val="34"/>
    <w:qFormat/>
    <w:rsid w:val="00C94E80"/>
    <w:pPr>
      <w:ind w:left="720"/>
      <w:contextualSpacing/>
    </w:pPr>
    <w:rPr>
      <w:rFonts w:ascii="Unit-Light" w:hAnsi="Unit-Light" w:cs="Arial"/>
      <w:sz w:val="25"/>
      <w:szCs w:val="25"/>
    </w:rPr>
  </w:style>
  <w:style w:type="table" w:styleId="Tabellenraster">
    <w:name w:val="Table Grid"/>
    <w:basedOn w:val="NormaleTabelle"/>
    <w:uiPriority w:val="59"/>
    <w:rsid w:val="00C94E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BD4F4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4F4F"/>
    <w:rPr>
      <w:rFonts w:ascii="Times New Roman" w:hAnsi="Times New Roman"/>
      <w:sz w:val="24"/>
    </w:rPr>
  </w:style>
  <w:style w:type="paragraph" w:styleId="Fuzeile">
    <w:name w:val="footer"/>
    <w:basedOn w:val="Standard"/>
    <w:link w:val="FuzeileZchn"/>
    <w:uiPriority w:val="99"/>
    <w:unhideWhenUsed/>
    <w:rsid w:val="00BD4F4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4F4F"/>
    <w:rPr>
      <w:rFonts w:ascii="Times New Roman" w:hAnsi="Times New Roman"/>
      <w:sz w:val="24"/>
    </w:rPr>
  </w:style>
  <w:style w:type="character" w:styleId="BesuchterLink">
    <w:name w:val="FollowedHyperlink"/>
    <w:basedOn w:val="Absatz-Standardschriftart"/>
    <w:uiPriority w:val="99"/>
    <w:semiHidden/>
    <w:unhideWhenUsed/>
    <w:rsid w:val="00445D42"/>
    <w:rPr>
      <w:color w:val="954F72" w:themeColor="followedHyperlink"/>
      <w:u w:val="single"/>
    </w:rPr>
  </w:style>
  <w:style w:type="paragraph" w:styleId="Sprechblasentext">
    <w:name w:val="Balloon Text"/>
    <w:basedOn w:val="Standard"/>
    <w:link w:val="SprechblasentextZchn"/>
    <w:uiPriority w:val="99"/>
    <w:semiHidden/>
    <w:unhideWhenUsed/>
    <w:rsid w:val="00CE10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E10B3"/>
    <w:rPr>
      <w:rFonts w:ascii="Segoe UI" w:hAnsi="Segoe UI" w:cs="Segoe UI"/>
      <w:sz w:val="18"/>
      <w:szCs w:val="18"/>
    </w:rPr>
  </w:style>
  <w:style w:type="character" w:customStyle="1" w:styleId="Ohne">
    <w:name w:val="Ohne"/>
    <w:rsid w:val="000B6334"/>
  </w:style>
  <w:style w:type="character" w:customStyle="1" w:styleId="Hyperlink1">
    <w:name w:val="Hyperlink.1"/>
    <w:basedOn w:val="Ohne"/>
    <w:rsid w:val="000B6334"/>
    <w:rPr>
      <w:rFonts w:ascii="Helvetica Neue Light" w:eastAsia="Helvetica Neue Light" w:hAnsi="Helvetica Neue Light" w:cs="Helvetica Neue Light"/>
      <w:sz w:val="20"/>
      <w:szCs w:val="20"/>
      <w:u w:val="non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91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p-award.com/de/gcaward" TargetMode="External"/><Relationship Id="rId13" Type="http://schemas.openxmlformats.org/officeDocument/2006/relationships/hyperlink" Target="https://www.instagram.com/gpawar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p-award.com/de/gpaward" TargetMode="External"/><Relationship Id="rId12" Type="http://schemas.openxmlformats.org/officeDocument/2006/relationships/hyperlink" Target="https://www.facebook.com/gpaward/"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e@gp-award.com" TargetMode="External"/><Relationship Id="rId5" Type="http://schemas.openxmlformats.org/officeDocument/2006/relationships/footnotes" Target="footnotes.xml"/><Relationship Id="rId15" Type="http://schemas.openxmlformats.org/officeDocument/2006/relationships/hyperlink" Target="https://twitter.com/GP_Award" TargetMode="External"/><Relationship Id="rId10" Type="http://schemas.openxmlformats.org/officeDocument/2006/relationships/hyperlink" Target="https://www.greenfutureclub.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p-award.com/de/press" TargetMode="External"/><Relationship Id="rId14" Type="http://schemas.openxmlformats.org/officeDocument/2006/relationships/hyperlink" Target="https://www.linkedin.com/company/gpawar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Nikolett Madai</dc:creator>
  <cp:keywords/>
  <dc:description/>
  <cp:lastModifiedBy>Nikolett Madai</cp:lastModifiedBy>
  <cp:revision>25</cp:revision>
  <cp:lastPrinted>2021-08-06T14:32:00Z</cp:lastPrinted>
  <dcterms:created xsi:type="dcterms:W3CDTF">2021-08-06T14:27:00Z</dcterms:created>
  <dcterms:modified xsi:type="dcterms:W3CDTF">2021-10-16T07:02:00Z</dcterms:modified>
</cp:coreProperties>
</file>